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91D11" w14:textId="357190F6" w:rsidR="009C10EE" w:rsidRDefault="009C10EE" w:rsidP="009C10EE">
      <w:pPr>
        <w:pStyle w:val="CRCoverPage"/>
        <w:tabs>
          <w:tab w:val="right" w:pos="9639"/>
        </w:tabs>
        <w:spacing w:after="0"/>
        <w:rPr>
          <w:b/>
          <w:sz w:val="24"/>
          <w:lang w:val="en-US"/>
        </w:rPr>
      </w:pPr>
      <w:r>
        <w:rPr>
          <w:b/>
          <w:sz w:val="24"/>
        </w:rPr>
        <w:t>3GPP TSG RAN Meeting #</w:t>
      </w:r>
      <w:r>
        <w:rPr>
          <w:b/>
          <w:sz w:val="24"/>
          <w:lang w:val="en-US"/>
        </w:rPr>
        <w:t>10</w:t>
      </w:r>
      <w:r w:rsidR="001D363C">
        <w:rPr>
          <w:b/>
          <w:sz w:val="24"/>
          <w:lang w:val="en-US" w:eastAsia="zh-CN"/>
        </w:rPr>
        <w:t>7</w:t>
      </w:r>
      <w:r>
        <w:rPr>
          <w:b/>
          <w:sz w:val="24"/>
        </w:rPr>
        <w:tab/>
      </w:r>
      <w:r>
        <w:rPr>
          <w:b/>
          <w:sz w:val="24"/>
          <w:highlight w:val="lightGray"/>
        </w:rPr>
        <w:t>RP-2</w:t>
      </w:r>
      <w:r w:rsidR="00A92691">
        <w:rPr>
          <w:b/>
          <w:sz w:val="24"/>
        </w:rPr>
        <w:t>50396</w:t>
      </w:r>
    </w:p>
    <w:p w14:paraId="54CCE81F" w14:textId="08B6DE95" w:rsidR="009C10EE" w:rsidRDefault="001D363C" w:rsidP="009C10EE">
      <w:pPr>
        <w:pStyle w:val="CRCoverPage"/>
        <w:tabs>
          <w:tab w:val="right" w:pos="9639"/>
        </w:tabs>
        <w:spacing w:after="0"/>
        <w:rPr>
          <w:b/>
          <w:sz w:val="24"/>
        </w:rPr>
      </w:pPr>
      <w:r>
        <w:rPr>
          <w:b/>
          <w:sz w:val="24"/>
          <w:lang w:val="en-US" w:eastAsia="zh-CN"/>
        </w:rPr>
        <w:t>Incheon</w:t>
      </w:r>
      <w:r w:rsidR="009C10EE">
        <w:rPr>
          <w:rFonts w:hint="eastAsia"/>
          <w:b/>
          <w:sz w:val="24"/>
          <w:lang w:val="en-US"/>
        </w:rPr>
        <w:t xml:space="preserve">, </w:t>
      </w:r>
      <w:r>
        <w:rPr>
          <w:b/>
          <w:sz w:val="24"/>
          <w:lang w:val="en-US" w:eastAsia="zh-CN"/>
        </w:rPr>
        <w:t>South Korea</w:t>
      </w:r>
      <w:r w:rsidR="009C10EE">
        <w:rPr>
          <w:rFonts w:hint="eastAsia"/>
          <w:b/>
          <w:sz w:val="24"/>
          <w:lang w:val="en-US"/>
        </w:rPr>
        <w:t xml:space="preserve">, </w:t>
      </w:r>
      <w:r>
        <w:rPr>
          <w:b/>
          <w:sz w:val="24"/>
          <w:lang w:val="en-US" w:eastAsia="zh-CN"/>
        </w:rPr>
        <w:t>Mar</w:t>
      </w:r>
      <w:r w:rsidR="009C10EE">
        <w:rPr>
          <w:rFonts w:hint="eastAsia"/>
          <w:b/>
          <w:sz w:val="24"/>
          <w:lang w:val="en-US"/>
        </w:rPr>
        <w:t xml:space="preserve"> </w:t>
      </w:r>
      <w:r>
        <w:rPr>
          <w:b/>
          <w:sz w:val="24"/>
          <w:lang w:val="en-US" w:eastAsia="zh-CN"/>
        </w:rPr>
        <w:t>12</w:t>
      </w:r>
      <w:r w:rsidR="009C10EE">
        <w:rPr>
          <w:rFonts w:hint="eastAsia"/>
          <w:b/>
          <w:sz w:val="24"/>
          <w:lang w:val="en-US"/>
        </w:rPr>
        <w:t xml:space="preserve"> - </w:t>
      </w:r>
      <w:r w:rsidR="009C10EE">
        <w:rPr>
          <w:rFonts w:hint="eastAsia"/>
          <w:b/>
          <w:sz w:val="24"/>
          <w:lang w:val="en-US" w:eastAsia="zh-CN"/>
        </w:rPr>
        <w:t>1</w:t>
      </w:r>
      <w:r>
        <w:rPr>
          <w:b/>
          <w:sz w:val="24"/>
          <w:lang w:val="en-US" w:eastAsia="zh-CN"/>
        </w:rPr>
        <w:t>4</w:t>
      </w:r>
      <w:r w:rsidR="009C10EE">
        <w:rPr>
          <w:rFonts w:hint="eastAsia"/>
          <w:b/>
          <w:sz w:val="24"/>
          <w:lang w:val="en-US"/>
        </w:rPr>
        <w:t>, 202</w:t>
      </w:r>
      <w:r>
        <w:rPr>
          <w:b/>
          <w:sz w:val="24"/>
          <w:lang w:val="en-US" w:eastAsia="zh-CN"/>
        </w:rPr>
        <w:t>5</w:t>
      </w:r>
      <w:r w:rsidR="009C10EE">
        <w:rPr>
          <w:b/>
          <w:sz w:val="24"/>
        </w:rPr>
        <w:tab/>
      </w:r>
    </w:p>
    <w:p w14:paraId="5C55FD31" w14:textId="77777777" w:rsidR="009C10EE" w:rsidRDefault="009C10EE" w:rsidP="000737CC">
      <w:pPr>
        <w:pStyle w:val="CRCoverPage"/>
        <w:tabs>
          <w:tab w:val="right" w:pos="9639"/>
        </w:tabs>
        <w:spacing w:after="0"/>
        <w:rPr>
          <w:b/>
          <w:noProof/>
          <w:sz w:val="24"/>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112E384"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92691">
        <w:rPr>
          <w:rFonts w:ascii="Arial" w:hAnsi="Arial" w:cs="Arial"/>
        </w:rPr>
        <w:t>13</w:t>
      </w:r>
      <w:r w:rsidR="007B2837">
        <w:rPr>
          <w:rFonts w:ascii="Arial" w:hAnsi="Arial" w:cs="Arial"/>
        </w:rPr>
        <w:t>.</w:t>
      </w:r>
      <w:r w:rsidR="00A92691">
        <w:rPr>
          <w:rFonts w:ascii="Arial" w:hAnsi="Arial" w:cs="Arial"/>
        </w:rPr>
        <w:t>4</w:t>
      </w:r>
      <w:r w:rsidR="007B2837">
        <w:rPr>
          <w:rFonts w:ascii="Arial" w:hAnsi="Arial" w:cs="Arial"/>
        </w:rPr>
        <w:t>.</w:t>
      </w:r>
      <w:r w:rsidR="00A92691">
        <w:rPr>
          <w:rFonts w:ascii="Arial" w:hAnsi="Arial" w:cs="Arial"/>
        </w:rPr>
        <w:t>30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AE055D0" w:rsidR="00593315" w:rsidRPr="005A12BE" w:rsidRDefault="00154918" w:rsidP="001A248F">
            <w:pPr>
              <w:tabs>
                <w:tab w:val="left" w:pos="567"/>
              </w:tabs>
              <w:spacing w:after="0"/>
              <w:rPr>
                <w:rFonts w:ascii="Arial" w:hAnsi="Arial" w:cs="Arial"/>
                <w:b/>
                <w:bCs/>
              </w:rPr>
            </w:pPr>
            <w:r w:rsidRPr="00154918">
              <w:rPr>
                <w:rFonts w:ascii="Arial" w:hAnsi="Arial" w:cs="Arial"/>
              </w:rPr>
              <w:t>Requirement for NR frequency range 2 (FR2) multi-Rx chain DL reception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7A25BB" w:rsidR="0036248C" w:rsidRPr="008836AC" w:rsidRDefault="00154918" w:rsidP="008836AC">
            <w:pPr>
              <w:tabs>
                <w:tab w:val="left" w:pos="567"/>
              </w:tabs>
              <w:spacing w:after="0"/>
              <w:rPr>
                <w:rFonts w:ascii="Arial" w:hAnsi="Arial" w:cs="Arial"/>
              </w:rPr>
            </w:pPr>
            <w:r w:rsidRPr="00154918">
              <w:rPr>
                <w:rFonts w:ascii="Arial" w:hAnsi="Arial" w:cs="Arial"/>
              </w:rPr>
              <w:t>NR_FR2_multiRX_DL-UEConTest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72B1D75" w:rsidR="0036248C" w:rsidRPr="0073313F" w:rsidRDefault="00154918" w:rsidP="008836AC">
            <w:pPr>
              <w:tabs>
                <w:tab w:val="left" w:pos="567"/>
              </w:tabs>
              <w:spacing w:after="0"/>
              <w:rPr>
                <w:rFonts w:ascii="Arial" w:hAnsi="Arial" w:cs="Arial"/>
                <w:lang w:eastAsia="ja-JP"/>
              </w:rPr>
            </w:pPr>
            <w:r w:rsidRPr="00154918">
              <w:t>1040113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8F4A614" w:rsidR="00B6300F" w:rsidRPr="00425C1F" w:rsidRDefault="00F60B73" w:rsidP="008836AC">
            <w:pPr>
              <w:tabs>
                <w:tab w:val="left" w:pos="567"/>
              </w:tabs>
              <w:spacing w:after="0"/>
              <w:rPr>
                <w:rFonts w:ascii="Arial" w:hAnsi="Arial" w:cs="Arial"/>
                <w:lang w:eastAsia="ja-JP"/>
              </w:rPr>
            </w:pPr>
            <w:r>
              <w:t>RP-2</w:t>
            </w:r>
            <w:r w:rsidR="00154918">
              <w:t>41653</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57862C4C" w:rsidR="00356FF8" w:rsidRPr="00E9516C" w:rsidRDefault="000D4CA2" w:rsidP="008836AC">
            <w:pPr>
              <w:tabs>
                <w:tab w:val="left" w:pos="567"/>
              </w:tabs>
              <w:spacing w:after="0"/>
              <w:rPr>
                <w:rFonts w:ascii="Arial" w:hAnsi="Arial" w:cs="Arial"/>
                <w:lang w:eastAsia="ja-JP"/>
              </w:rPr>
            </w:pPr>
            <w:r w:rsidRPr="000D4CA2">
              <w:rPr>
                <w:rFonts w:ascii="Arial" w:hAnsi="Arial" w:cs="Arial"/>
                <w:color w:val="00B050"/>
                <w:lang w:eastAsia="ja-JP"/>
              </w:rPr>
              <w:t>12</w:t>
            </w:r>
            <w:r w:rsidR="00356FF8" w:rsidRPr="000D4CA2">
              <w:rPr>
                <w:rFonts w:ascii="Arial" w:hAnsi="Arial" w:cs="Arial"/>
                <w:color w:val="00B050"/>
                <w:lang w:eastAsia="ja-JP"/>
              </w:rPr>
              <w:t>/202</w:t>
            </w:r>
            <w:r w:rsidR="00154918">
              <w:rPr>
                <w:rFonts w:ascii="Arial" w:hAnsi="Arial" w:cs="Arial"/>
                <w:color w:val="00B050"/>
                <w:lang w:eastAsia="ja-JP"/>
              </w:rPr>
              <w:t>5</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7EB9CFB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AA1B81" w:rsidRPr="00AA1B81">
              <w:rPr>
                <w:rFonts w:ascii="Arial" w:hAnsi="Arial" w:cs="Arial"/>
                <w:lang w:eastAsia="ja-JP"/>
              </w:rPr>
              <w:t>20</w:t>
            </w:r>
            <w:r w:rsidR="00DB72B9" w:rsidRPr="00AA1B81">
              <w:rPr>
                <w:rFonts w:ascii="Arial" w:hAnsi="Arial" w:cs="Arial"/>
                <w:lang w:eastAsia="ja-JP"/>
              </w:rPr>
              <w:t>%</w:t>
            </w:r>
            <w:r w:rsidR="00F60EB7" w:rsidRPr="00AA1B81">
              <w:rPr>
                <w:rFonts w:ascii="Arial" w:hAnsi="Arial" w:cs="Arial"/>
                <w:lang w:eastAsia="ja-JP"/>
              </w:rPr>
              <w:t xml:space="preserve"> </w:t>
            </w:r>
            <w:r w:rsidR="00EC505A" w:rsidRPr="00AA1B81">
              <w:rPr>
                <w:rFonts w:ascii="Arial" w:hAnsi="Arial" w:cs="Arial"/>
                <w:color w:val="00B050"/>
                <w:kern w:val="2"/>
                <w:sz w:val="21"/>
                <w:szCs w:val="22"/>
                <w:lang w:val="en-US" w:eastAsia="ja-JP"/>
              </w:rPr>
              <w:t>(+</w:t>
            </w:r>
            <w:r w:rsidR="00AA1B81" w:rsidRPr="00AA1B81">
              <w:rPr>
                <w:rFonts w:ascii="Arial" w:hAnsi="Arial" w:cs="Arial"/>
                <w:color w:val="00B050"/>
                <w:kern w:val="2"/>
                <w:sz w:val="21"/>
                <w:szCs w:val="22"/>
                <w:lang w:val="en-US" w:eastAsia="ja-JP"/>
              </w:rPr>
              <w:t>11</w:t>
            </w:r>
            <w:r w:rsidR="00DB72B9" w:rsidRPr="00AA1B81">
              <w:rPr>
                <w:rFonts w:ascii="Arial" w:hAnsi="Arial" w:cs="Arial"/>
                <w:color w:val="00B050"/>
                <w:kern w:val="2"/>
                <w:sz w:val="21"/>
                <w:szCs w:val="22"/>
                <w:lang w:val="en-US" w:eastAsia="ja-JP"/>
              </w:rPr>
              <w:t>%</w:t>
            </w:r>
            <w:r w:rsidR="00EC505A" w:rsidRPr="00AA1B8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0F87A6D0" w:rsidR="00356FF8" w:rsidRDefault="00356FF8" w:rsidP="00356FF8">
      <w:pPr>
        <w:rPr>
          <w:lang w:eastAsia="ja-JP"/>
        </w:rPr>
      </w:pPr>
      <w:r w:rsidRPr="00E9516C">
        <w:rPr>
          <w:lang w:eastAsia="ja-JP"/>
        </w:rPr>
        <w:t>At RAN#</w:t>
      </w:r>
      <w:r w:rsidR="00154918">
        <w:rPr>
          <w:lang w:eastAsia="ja-JP"/>
        </w:rPr>
        <w:t>104</w:t>
      </w:r>
      <w:r w:rsidRPr="00E9516C">
        <w:rPr>
          <w:lang w:eastAsia="ja-JP"/>
        </w:rPr>
        <w:t xml:space="preserve"> the </w:t>
      </w:r>
      <w:r w:rsidR="005A12BE">
        <w:rPr>
          <w:lang w:eastAsia="ja-JP"/>
        </w:rPr>
        <w:t xml:space="preserve">WID </w:t>
      </w:r>
      <w:r w:rsidR="00154918" w:rsidRPr="00154918">
        <w:rPr>
          <w:lang w:eastAsia="ja-JP"/>
        </w:rPr>
        <w:t>Requirement for NR frequency range 2 (FR2) multi-Rx chain DL reception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46ECDFED" w:rsidR="007130E4" w:rsidRPr="007130E4" w:rsidRDefault="007130E4" w:rsidP="007130E4">
      <w:pPr>
        <w:rPr>
          <w:lang w:eastAsia="ja-JP"/>
        </w:rPr>
      </w:pPr>
      <w:r>
        <w:rPr>
          <w:lang w:eastAsia="ja-JP"/>
        </w:rPr>
        <w:t xml:space="preserve">See WP for more details </w:t>
      </w:r>
      <w:r w:rsidR="009E4BFB">
        <w:rPr>
          <w:lang w:eastAsia="ja-JP"/>
        </w:rPr>
        <w:t>[</w:t>
      </w:r>
      <w:r w:rsidR="00A855A6">
        <w:rPr>
          <w:lang w:eastAsia="ja-JP"/>
        </w:rPr>
        <w:t>3</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2F38D14F"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154918">
        <w:rPr>
          <w:rFonts w:ascii="Arial" w:hAnsi="Arial" w:cs="Arial"/>
          <w:bCs/>
          <w:lang w:val="en-US"/>
        </w:rPr>
        <w:t>45285</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28450203" w14:textId="3AFF4072" w:rsidR="005911C8" w:rsidRDefault="005911C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R5-247135</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D341195" w14:textId="1D5076C0" w:rsidR="00A855A6" w:rsidRDefault="00A855A6" w:rsidP="00A855A6">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 R5-250540</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1025658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Tdocs:</w:t>
      </w:r>
      <w:r w:rsidR="00154918">
        <w:rPr>
          <w:rFonts w:ascii="Arial" w:hAnsi="Arial" w:cs="Arial"/>
          <w:bCs/>
          <w:lang w:val="en-US"/>
        </w:rPr>
        <w:t xml:space="preserve"> </w:t>
      </w:r>
      <w:r w:rsidR="005911C8">
        <w:rPr>
          <w:rFonts w:ascii="Arial" w:hAnsi="Arial" w:cs="Arial"/>
          <w:bCs/>
          <w:lang w:val="en-US"/>
        </w:rPr>
        <w:t>RAN5#105</w:t>
      </w:r>
    </w:p>
    <w:p w14:paraId="27685E89" w14:textId="77777777" w:rsidR="005911C8" w:rsidRDefault="005911C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tbl>
      <w:tblPr>
        <w:tblW w:w="7933" w:type="dxa"/>
        <w:tblLook w:val="04A0" w:firstRow="1" w:lastRow="0" w:firstColumn="1" w:lastColumn="0" w:noHBand="0" w:noVBand="1"/>
      </w:tblPr>
      <w:tblGrid>
        <w:gridCol w:w="1413"/>
        <w:gridCol w:w="4819"/>
        <w:gridCol w:w="1701"/>
      </w:tblGrid>
      <w:tr w:rsidR="001D120D" w:rsidRPr="001D120D" w14:paraId="094D5C4B" w14:textId="77777777" w:rsidTr="000223C3">
        <w:trPr>
          <w:trHeight w:val="34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C04B70" w14:textId="4CD54C97" w:rsidR="001D120D" w:rsidRPr="001D120D" w:rsidRDefault="001D120D" w:rsidP="001D120D">
            <w:pPr>
              <w:overflowPunct/>
              <w:autoSpaceDE/>
              <w:autoSpaceDN/>
              <w:adjustRightInd/>
              <w:spacing w:after="0"/>
              <w:textAlignment w:val="auto"/>
              <w:rPr>
                <w:rFonts w:ascii="Arial" w:hAnsi="Arial" w:cs="Arial"/>
                <w:color w:val="008080"/>
                <w:sz w:val="16"/>
                <w:szCs w:val="16"/>
                <w:lang w:val="en-US"/>
              </w:rPr>
            </w:pPr>
            <w:r w:rsidRPr="001D120D">
              <w:rPr>
                <w:rFonts w:ascii="Arial" w:hAnsi="Arial" w:cs="Arial"/>
                <w:color w:val="008080"/>
                <w:sz w:val="16"/>
                <w:szCs w:val="16"/>
                <w:lang w:val="en-US"/>
              </w:rPr>
              <w:t>R5-247154</w:t>
            </w:r>
          </w:p>
        </w:tc>
        <w:tc>
          <w:tcPr>
            <w:tcW w:w="4819" w:type="dxa"/>
            <w:tcBorders>
              <w:top w:val="single" w:sz="4" w:space="0" w:color="auto"/>
              <w:left w:val="nil"/>
              <w:bottom w:val="single" w:sz="4" w:space="0" w:color="auto"/>
              <w:right w:val="single" w:sz="4" w:space="0" w:color="auto"/>
            </w:tcBorders>
            <w:shd w:val="clear" w:color="auto" w:fill="auto"/>
            <w:hideMark/>
          </w:tcPr>
          <w:p w14:paraId="42F4E49D"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Additon of PICS for FR2 Multi-Rx feature</w:t>
            </w:r>
          </w:p>
        </w:tc>
        <w:tc>
          <w:tcPr>
            <w:tcW w:w="1701" w:type="dxa"/>
            <w:tcBorders>
              <w:top w:val="single" w:sz="4" w:space="0" w:color="auto"/>
              <w:left w:val="nil"/>
              <w:bottom w:val="single" w:sz="4" w:space="0" w:color="auto"/>
              <w:right w:val="single" w:sz="4" w:space="0" w:color="auto"/>
            </w:tcBorders>
            <w:shd w:val="clear" w:color="auto" w:fill="auto"/>
            <w:noWrap/>
            <w:hideMark/>
          </w:tcPr>
          <w:p w14:paraId="38394D0A"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Qualcomm Inc</w:t>
            </w:r>
          </w:p>
        </w:tc>
      </w:tr>
      <w:tr w:rsidR="001D120D" w:rsidRPr="001D120D" w14:paraId="5244140A" w14:textId="77777777" w:rsidTr="000223C3">
        <w:trPr>
          <w:trHeight w:val="25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DA4CAF" w14:textId="77777777" w:rsidR="001D120D" w:rsidRPr="001D120D" w:rsidRDefault="001D120D" w:rsidP="001D120D">
            <w:pPr>
              <w:overflowPunct/>
              <w:autoSpaceDE/>
              <w:autoSpaceDN/>
              <w:adjustRightInd/>
              <w:spacing w:after="0"/>
              <w:textAlignment w:val="auto"/>
              <w:rPr>
                <w:rFonts w:ascii="Arial" w:hAnsi="Arial" w:cs="Arial"/>
                <w:color w:val="008080"/>
                <w:sz w:val="16"/>
                <w:szCs w:val="16"/>
                <w:lang w:val="en-US"/>
              </w:rPr>
            </w:pPr>
            <w:hyperlink r:id="rId10" w:history="1">
              <w:r w:rsidRPr="001D120D">
                <w:rPr>
                  <w:rFonts w:ascii="Arial" w:hAnsi="Arial" w:cs="Arial"/>
                  <w:color w:val="008080"/>
                  <w:sz w:val="16"/>
                  <w:szCs w:val="16"/>
                  <w:lang w:val="en-US"/>
                </w:rPr>
                <w:t>R5-247503</w:t>
              </w:r>
            </w:hyperlink>
          </w:p>
        </w:tc>
        <w:tc>
          <w:tcPr>
            <w:tcW w:w="4819" w:type="dxa"/>
            <w:tcBorders>
              <w:top w:val="single" w:sz="4" w:space="0" w:color="auto"/>
              <w:left w:val="nil"/>
              <w:bottom w:val="single" w:sz="4" w:space="0" w:color="auto"/>
              <w:right w:val="single" w:sz="4" w:space="0" w:color="auto"/>
            </w:tcBorders>
            <w:shd w:val="clear" w:color="auto" w:fill="auto"/>
            <w:hideMark/>
          </w:tcPr>
          <w:p w14:paraId="42E66A87"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introduction of 2AoA spherical coverage requirement for PC3 UEs</w:t>
            </w:r>
          </w:p>
        </w:tc>
        <w:tc>
          <w:tcPr>
            <w:tcW w:w="1701" w:type="dxa"/>
            <w:tcBorders>
              <w:top w:val="single" w:sz="4" w:space="0" w:color="auto"/>
              <w:left w:val="nil"/>
              <w:bottom w:val="single" w:sz="4" w:space="0" w:color="auto"/>
              <w:right w:val="single" w:sz="4" w:space="0" w:color="auto"/>
            </w:tcBorders>
            <w:shd w:val="clear" w:color="auto" w:fill="auto"/>
            <w:noWrap/>
            <w:hideMark/>
          </w:tcPr>
          <w:p w14:paraId="4FDC5209"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Apple Benelux B.V.</w:t>
            </w:r>
          </w:p>
        </w:tc>
      </w:tr>
      <w:tr w:rsidR="001D120D" w:rsidRPr="001D120D" w14:paraId="4B344E02" w14:textId="77777777" w:rsidTr="000223C3">
        <w:trPr>
          <w:trHeight w:val="28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C193A9" w14:textId="77777777" w:rsidR="001D120D" w:rsidRPr="001D120D" w:rsidRDefault="001D120D" w:rsidP="001D120D">
            <w:pPr>
              <w:overflowPunct/>
              <w:autoSpaceDE/>
              <w:autoSpaceDN/>
              <w:adjustRightInd/>
              <w:spacing w:after="0"/>
              <w:textAlignment w:val="auto"/>
              <w:rPr>
                <w:rFonts w:ascii="Arial" w:hAnsi="Arial" w:cs="Arial"/>
                <w:color w:val="008080"/>
                <w:sz w:val="16"/>
                <w:szCs w:val="16"/>
                <w:lang w:val="en-US"/>
              </w:rPr>
            </w:pPr>
            <w:hyperlink r:id="rId11" w:history="1">
              <w:r w:rsidRPr="001D120D">
                <w:rPr>
                  <w:rFonts w:ascii="Arial" w:hAnsi="Arial" w:cs="Arial"/>
                  <w:color w:val="008080"/>
                  <w:sz w:val="16"/>
                  <w:szCs w:val="16"/>
                  <w:lang w:val="en-US"/>
                </w:rPr>
                <w:t>R5-247504</w:t>
              </w:r>
            </w:hyperlink>
          </w:p>
        </w:tc>
        <w:tc>
          <w:tcPr>
            <w:tcW w:w="4819" w:type="dxa"/>
            <w:tcBorders>
              <w:top w:val="single" w:sz="4" w:space="0" w:color="auto"/>
              <w:left w:val="nil"/>
              <w:bottom w:val="single" w:sz="4" w:space="0" w:color="auto"/>
              <w:right w:val="single" w:sz="4" w:space="0" w:color="auto"/>
            </w:tcBorders>
            <w:shd w:val="clear" w:color="auto" w:fill="auto"/>
            <w:hideMark/>
          </w:tcPr>
          <w:p w14:paraId="235A5634"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Update to Annexes relevant to 2AoA tests</w:t>
            </w:r>
          </w:p>
        </w:tc>
        <w:tc>
          <w:tcPr>
            <w:tcW w:w="1701" w:type="dxa"/>
            <w:tcBorders>
              <w:top w:val="single" w:sz="4" w:space="0" w:color="auto"/>
              <w:left w:val="nil"/>
              <w:bottom w:val="single" w:sz="4" w:space="0" w:color="auto"/>
              <w:right w:val="single" w:sz="4" w:space="0" w:color="auto"/>
            </w:tcBorders>
            <w:shd w:val="clear" w:color="auto" w:fill="auto"/>
            <w:noWrap/>
            <w:hideMark/>
          </w:tcPr>
          <w:p w14:paraId="55E4F267"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Apple Benelux B.V.</w:t>
            </w:r>
          </w:p>
        </w:tc>
      </w:tr>
      <w:tr w:rsidR="001D120D" w:rsidRPr="001D120D" w14:paraId="413101D4" w14:textId="77777777" w:rsidTr="000223C3">
        <w:trPr>
          <w:trHeight w:val="269"/>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A16E7B" w14:textId="77777777" w:rsidR="001D120D" w:rsidRPr="001D120D" w:rsidRDefault="001D120D" w:rsidP="001D120D">
            <w:pPr>
              <w:overflowPunct/>
              <w:autoSpaceDE/>
              <w:autoSpaceDN/>
              <w:adjustRightInd/>
              <w:spacing w:after="0"/>
              <w:textAlignment w:val="auto"/>
              <w:rPr>
                <w:rFonts w:ascii="Arial" w:hAnsi="Arial" w:cs="Arial"/>
                <w:color w:val="008080"/>
                <w:sz w:val="16"/>
                <w:szCs w:val="16"/>
                <w:lang w:val="en-US"/>
              </w:rPr>
            </w:pPr>
            <w:hyperlink r:id="rId12" w:history="1">
              <w:r w:rsidRPr="001D120D">
                <w:rPr>
                  <w:rFonts w:ascii="Arial" w:hAnsi="Arial" w:cs="Arial"/>
                  <w:color w:val="008080"/>
                  <w:sz w:val="16"/>
                  <w:szCs w:val="16"/>
                  <w:lang w:val="en-US"/>
                </w:rPr>
                <w:t>R5-247156</w:t>
              </w:r>
            </w:hyperlink>
          </w:p>
        </w:tc>
        <w:tc>
          <w:tcPr>
            <w:tcW w:w="4819" w:type="dxa"/>
            <w:tcBorders>
              <w:top w:val="single" w:sz="4" w:space="0" w:color="auto"/>
              <w:left w:val="nil"/>
              <w:bottom w:val="single" w:sz="4" w:space="0" w:color="auto"/>
              <w:right w:val="single" w:sz="4" w:space="0" w:color="auto"/>
            </w:tcBorders>
            <w:shd w:val="clear" w:color="auto" w:fill="auto"/>
            <w:hideMark/>
          </w:tcPr>
          <w:p w14:paraId="070FA448"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Addition of common Demod clauses for FR2 Multi-Rx</w:t>
            </w:r>
          </w:p>
        </w:tc>
        <w:tc>
          <w:tcPr>
            <w:tcW w:w="1701" w:type="dxa"/>
            <w:tcBorders>
              <w:top w:val="single" w:sz="4" w:space="0" w:color="auto"/>
              <w:left w:val="nil"/>
              <w:bottom w:val="single" w:sz="4" w:space="0" w:color="auto"/>
              <w:right w:val="single" w:sz="4" w:space="0" w:color="auto"/>
            </w:tcBorders>
            <w:shd w:val="clear" w:color="auto" w:fill="auto"/>
            <w:noWrap/>
            <w:hideMark/>
          </w:tcPr>
          <w:p w14:paraId="7CE390A5"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Qualcomm Inc</w:t>
            </w:r>
          </w:p>
        </w:tc>
      </w:tr>
    </w:tbl>
    <w:p w14:paraId="08A0D8C4" w14:textId="77777777" w:rsidR="005911C8" w:rsidRDefault="005911C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E51577F" w14:textId="71BDB79F" w:rsidR="00C45040" w:rsidRDefault="00A855A6"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RAN5#106</w:t>
      </w:r>
    </w:p>
    <w:tbl>
      <w:tblPr>
        <w:tblW w:w="9634" w:type="dxa"/>
        <w:tblLook w:val="04A0" w:firstRow="1" w:lastRow="0" w:firstColumn="1" w:lastColumn="0" w:noHBand="0" w:noVBand="1"/>
      </w:tblPr>
      <w:tblGrid>
        <w:gridCol w:w="1460"/>
        <w:gridCol w:w="4772"/>
        <w:gridCol w:w="3402"/>
      </w:tblGrid>
      <w:tr w:rsidR="000223C3" w:rsidRPr="000223C3" w14:paraId="675D9682"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D93CDF"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R5-251692</w:t>
            </w:r>
          </w:p>
        </w:tc>
        <w:tc>
          <w:tcPr>
            <w:tcW w:w="4772" w:type="dxa"/>
            <w:tcBorders>
              <w:top w:val="single" w:sz="4" w:space="0" w:color="auto"/>
              <w:left w:val="nil"/>
              <w:bottom w:val="single" w:sz="4" w:space="0" w:color="auto"/>
              <w:right w:val="single" w:sz="4" w:space="0" w:color="auto"/>
            </w:tcBorders>
            <w:shd w:val="clear" w:color="auto" w:fill="auto"/>
            <w:hideMark/>
          </w:tcPr>
          <w:p w14:paraId="34614160"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new UE capabilities for supporting multiRx test cases</w:t>
            </w:r>
          </w:p>
        </w:tc>
        <w:tc>
          <w:tcPr>
            <w:tcW w:w="3402" w:type="dxa"/>
            <w:tcBorders>
              <w:top w:val="single" w:sz="4" w:space="0" w:color="auto"/>
              <w:left w:val="nil"/>
              <w:bottom w:val="single" w:sz="4" w:space="0" w:color="auto"/>
              <w:right w:val="single" w:sz="4" w:space="0" w:color="auto"/>
            </w:tcBorders>
            <w:shd w:val="clear" w:color="auto" w:fill="auto"/>
            <w:noWrap/>
            <w:hideMark/>
          </w:tcPr>
          <w:p w14:paraId="20F80ED4"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049671FB"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3DB9C"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R5-251693</w:t>
            </w:r>
          </w:p>
        </w:tc>
        <w:tc>
          <w:tcPr>
            <w:tcW w:w="4772" w:type="dxa"/>
            <w:tcBorders>
              <w:top w:val="single" w:sz="4" w:space="0" w:color="auto"/>
              <w:left w:val="nil"/>
              <w:bottom w:val="single" w:sz="4" w:space="0" w:color="auto"/>
              <w:right w:val="single" w:sz="4" w:space="0" w:color="auto"/>
            </w:tcBorders>
            <w:shd w:val="clear" w:color="auto" w:fill="auto"/>
            <w:hideMark/>
          </w:tcPr>
          <w:p w14:paraId="2D12F9C2"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PICS needed for MultiRx RF test cases</w:t>
            </w:r>
          </w:p>
        </w:tc>
        <w:tc>
          <w:tcPr>
            <w:tcW w:w="3402" w:type="dxa"/>
            <w:tcBorders>
              <w:top w:val="single" w:sz="4" w:space="0" w:color="auto"/>
              <w:left w:val="nil"/>
              <w:bottom w:val="single" w:sz="4" w:space="0" w:color="auto"/>
              <w:right w:val="single" w:sz="4" w:space="0" w:color="auto"/>
            </w:tcBorders>
            <w:shd w:val="clear" w:color="auto" w:fill="auto"/>
            <w:noWrap/>
            <w:hideMark/>
          </w:tcPr>
          <w:p w14:paraId="615E956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Europe Inc. - Italy</w:t>
            </w:r>
          </w:p>
        </w:tc>
      </w:tr>
      <w:tr w:rsidR="000223C3" w:rsidRPr="000223C3" w14:paraId="6B73C625"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9F4A55"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R5-251518</w:t>
            </w:r>
          </w:p>
        </w:tc>
        <w:tc>
          <w:tcPr>
            <w:tcW w:w="4772" w:type="dxa"/>
            <w:tcBorders>
              <w:top w:val="single" w:sz="4" w:space="0" w:color="auto"/>
              <w:left w:val="nil"/>
              <w:bottom w:val="single" w:sz="4" w:space="0" w:color="auto"/>
              <w:right w:val="single" w:sz="4" w:space="0" w:color="auto"/>
            </w:tcBorders>
            <w:shd w:val="clear" w:color="auto" w:fill="auto"/>
            <w:hideMark/>
          </w:tcPr>
          <w:p w14:paraId="703B23C6"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Updates to 2AoA spherical coverage test</w:t>
            </w:r>
          </w:p>
        </w:tc>
        <w:tc>
          <w:tcPr>
            <w:tcW w:w="3402" w:type="dxa"/>
            <w:tcBorders>
              <w:top w:val="single" w:sz="4" w:space="0" w:color="auto"/>
              <w:left w:val="nil"/>
              <w:bottom w:val="single" w:sz="4" w:space="0" w:color="auto"/>
              <w:right w:val="single" w:sz="4" w:space="0" w:color="auto"/>
            </w:tcBorders>
            <w:shd w:val="clear" w:color="auto" w:fill="auto"/>
            <w:noWrap/>
            <w:hideMark/>
          </w:tcPr>
          <w:p w14:paraId="008AE4AF"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Apple Trading</w:t>
            </w:r>
          </w:p>
        </w:tc>
      </w:tr>
      <w:tr w:rsidR="000223C3" w:rsidRPr="000223C3" w14:paraId="0F037DE2"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85589A"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hyperlink r:id="rId13" w:history="1">
              <w:r w:rsidRPr="000223C3">
                <w:rPr>
                  <w:rFonts w:ascii="Arial" w:hAnsi="Arial" w:cs="Arial"/>
                  <w:color w:val="008080"/>
                  <w:sz w:val="16"/>
                  <w:szCs w:val="16"/>
                  <w:lang w:val="en-US"/>
                </w:rPr>
                <w:t>R5-250558</w:t>
              </w:r>
            </w:hyperlink>
          </w:p>
        </w:tc>
        <w:tc>
          <w:tcPr>
            <w:tcW w:w="4772" w:type="dxa"/>
            <w:tcBorders>
              <w:top w:val="single" w:sz="4" w:space="0" w:color="auto"/>
              <w:left w:val="nil"/>
              <w:bottom w:val="single" w:sz="4" w:space="0" w:color="auto"/>
              <w:right w:val="single" w:sz="4" w:space="0" w:color="auto"/>
            </w:tcBorders>
            <w:shd w:val="clear" w:color="auto" w:fill="auto"/>
            <w:hideMark/>
          </w:tcPr>
          <w:p w14:paraId="79F922B9"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Single-DCI and Multi-DCI FR2 PDSCH demodulation cases for MultiRx reception</w:t>
            </w:r>
          </w:p>
        </w:tc>
        <w:tc>
          <w:tcPr>
            <w:tcW w:w="3402" w:type="dxa"/>
            <w:tcBorders>
              <w:top w:val="single" w:sz="4" w:space="0" w:color="auto"/>
              <w:left w:val="nil"/>
              <w:bottom w:val="single" w:sz="4" w:space="0" w:color="auto"/>
              <w:right w:val="single" w:sz="4" w:space="0" w:color="auto"/>
            </w:tcBorders>
            <w:shd w:val="clear" w:color="auto" w:fill="auto"/>
            <w:noWrap/>
            <w:hideMark/>
          </w:tcPr>
          <w:p w14:paraId="63B417D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Europe Inc. - Italy</w:t>
            </w:r>
          </w:p>
        </w:tc>
      </w:tr>
      <w:tr w:rsidR="000223C3" w:rsidRPr="000223C3" w14:paraId="796ABA48" w14:textId="77777777" w:rsidTr="000223C3">
        <w:trPr>
          <w:trHeight w:val="326"/>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00F45C"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hyperlink r:id="rId14" w:history="1">
              <w:r w:rsidRPr="000223C3">
                <w:rPr>
                  <w:rFonts w:ascii="Arial" w:hAnsi="Arial" w:cs="Arial"/>
                  <w:color w:val="008080"/>
                  <w:sz w:val="16"/>
                  <w:szCs w:val="16"/>
                  <w:lang w:val="en-US"/>
                </w:rPr>
                <w:t>R5-250557</w:t>
              </w:r>
            </w:hyperlink>
          </w:p>
        </w:tc>
        <w:tc>
          <w:tcPr>
            <w:tcW w:w="4772" w:type="dxa"/>
            <w:tcBorders>
              <w:top w:val="single" w:sz="4" w:space="0" w:color="auto"/>
              <w:left w:val="nil"/>
              <w:bottom w:val="single" w:sz="4" w:space="0" w:color="auto"/>
              <w:right w:val="single" w:sz="4" w:space="0" w:color="auto"/>
            </w:tcBorders>
            <w:shd w:val="clear" w:color="auto" w:fill="auto"/>
            <w:hideMark/>
          </w:tcPr>
          <w:p w14:paraId="5B303A2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Update to RMC table numbering for MultiRx Demod test case</w:t>
            </w:r>
          </w:p>
        </w:tc>
        <w:tc>
          <w:tcPr>
            <w:tcW w:w="3402" w:type="dxa"/>
            <w:tcBorders>
              <w:top w:val="single" w:sz="4" w:space="0" w:color="auto"/>
              <w:left w:val="nil"/>
              <w:bottom w:val="single" w:sz="4" w:space="0" w:color="auto"/>
              <w:right w:val="single" w:sz="4" w:space="0" w:color="auto"/>
            </w:tcBorders>
            <w:shd w:val="clear" w:color="auto" w:fill="auto"/>
            <w:noWrap/>
            <w:hideMark/>
          </w:tcPr>
          <w:p w14:paraId="734356ED"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Europe Inc. - Italy</w:t>
            </w:r>
          </w:p>
        </w:tc>
      </w:tr>
      <w:tr w:rsidR="000223C3" w:rsidRPr="000223C3" w14:paraId="677DF9B2" w14:textId="77777777" w:rsidTr="000223C3">
        <w:trPr>
          <w:trHeight w:val="273"/>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79437C"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R5-251669</w:t>
            </w:r>
          </w:p>
        </w:tc>
        <w:tc>
          <w:tcPr>
            <w:tcW w:w="4772" w:type="dxa"/>
            <w:tcBorders>
              <w:top w:val="single" w:sz="4" w:space="0" w:color="auto"/>
              <w:left w:val="nil"/>
              <w:bottom w:val="single" w:sz="4" w:space="0" w:color="auto"/>
              <w:right w:val="single" w:sz="4" w:space="0" w:color="auto"/>
            </w:tcBorders>
            <w:shd w:val="clear" w:color="auto" w:fill="auto"/>
            <w:hideMark/>
          </w:tcPr>
          <w:p w14:paraId="7DA38946"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test applicability statements for multiRx test cases</w:t>
            </w:r>
          </w:p>
        </w:tc>
        <w:tc>
          <w:tcPr>
            <w:tcW w:w="3402" w:type="dxa"/>
            <w:tcBorders>
              <w:top w:val="single" w:sz="4" w:space="0" w:color="auto"/>
              <w:left w:val="nil"/>
              <w:bottom w:val="single" w:sz="4" w:space="0" w:color="auto"/>
              <w:right w:val="single" w:sz="4" w:space="0" w:color="auto"/>
            </w:tcBorders>
            <w:shd w:val="clear" w:color="auto" w:fill="auto"/>
            <w:noWrap/>
            <w:hideMark/>
          </w:tcPr>
          <w:p w14:paraId="0D71F2D8"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7B63D351" w14:textId="77777777" w:rsidTr="000223C3">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E10877"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hyperlink r:id="rId15" w:history="1">
              <w:r w:rsidRPr="000223C3">
                <w:rPr>
                  <w:rFonts w:ascii="Arial" w:hAnsi="Arial" w:cs="Arial"/>
                  <w:color w:val="008080"/>
                  <w:sz w:val="16"/>
                  <w:szCs w:val="16"/>
                  <w:lang w:val="en-US"/>
                </w:rPr>
                <w:t>R5-251216</w:t>
              </w:r>
            </w:hyperlink>
          </w:p>
        </w:tc>
        <w:tc>
          <w:tcPr>
            <w:tcW w:w="4772" w:type="dxa"/>
            <w:tcBorders>
              <w:top w:val="single" w:sz="4" w:space="0" w:color="auto"/>
              <w:left w:val="nil"/>
              <w:bottom w:val="single" w:sz="4" w:space="0" w:color="auto"/>
              <w:right w:val="single" w:sz="4" w:space="0" w:color="auto"/>
            </w:tcBorders>
            <w:shd w:val="clear" w:color="auto" w:fill="auto"/>
            <w:hideMark/>
          </w:tcPr>
          <w:p w14:paraId="65FCD13E"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Applicability for 2AoA spherical coverage test</w:t>
            </w:r>
          </w:p>
        </w:tc>
        <w:tc>
          <w:tcPr>
            <w:tcW w:w="3402" w:type="dxa"/>
            <w:tcBorders>
              <w:top w:val="single" w:sz="4" w:space="0" w:color="auto"/>
              <w:left w:val="nil"/>
              <w:bottom w:val="single" w:sz="4" w:space="0" w:color="auto"/>
              <w:right w:val="single" w:sz="4" w:space="0" w:color="auto"/>
            </w:tcBorders>
            <w:shd w:val="clear" w:color="auto" w:fill="auto"/>
            <w:noWrap/>
            <w:hideMark/>
          </w:tcPr>
          <w:p w14:paraId="5B1979D5"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Apple Trading</w:t>
            </w:r>
          </w:p>
        </w:tc>
      </w:tr>
      <w:tr w:rsidR="000223C3" w:rsidRPr="000223C3" w14:paraId="7E79C234" w14:textId="77777777" w:rsidTr="000223C3">
        <w:trPr>
          <w:trHeight w:val="437"/>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AEBCB1"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R5-251596</w:t>
            </w:r>
          </w:p>
        </w:tc>
        <w:tc>
          <w:tcPr>
            <w:tcW w:w="4772" w:type="dxa"/>
            <w:tcBorders>
              <w:top w:val="single" w:sz="4" w:space="0" w:color="auto"/>
              <w:left w:val="nil"/>
              <w:bottom w:val="single" w:sz="4" w:space="0" w:color="auto"/>
              <w:right w:val="single" w:sz="4" w:space="0" w:color="auto"/>
            </w:tcBorders>
            <w:shd w:val="clear" w:color="auto" w:fill="auto"/>
            <w:hideMark/>
          </w:tcPr>
          <w:p w14:paraId="15A3727F"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SSB based L1-RSRP measurement for group-based beam reporting test case</w:t>
            </w:r>
          </w:p>
        </w:tc>
        <w:tc>
          <w:tcPr>
            <w:tcW w:w="3402" w:type="dxa"/>
            <w:tcBorders>
              <w:top w:val="single" w:sz="4" w:space="0" w:color="auto"/>
              <w:left w:val="nil"/>
              <w:bottom w:val="single" w:sz="4" w:space="0" w:color="auto"/>
              <w:right w:val="single" w:sz="4" w:space="0" w:color="auto"/>
            </w:tcBorders>
            <w:shd w:val="clear" w:color="auto" w:fill="auto"/>
            <w:noWrap/>
            <w:hideMark/>
          </w:tcPr>
          <w:p w14:paraId="0EFF9813"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4FE22A8B"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1C32AA"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R5-251597</w:t>
            </w:r>
          </w:p>
        </w:tc>
        <w:tc>
          <w:tcPr>
            <w:tcW w:w="4772" w:type="dxa"/>
            <w:tcBorders>
              <w:top w:val="single" w:sz="4" w:space="0" w:color="auto"/>
              <w:left w:val="nil"/>
              <w:bottom w:val="single" w:sz="4" w:space="0" w:color="auto"/>
              <w:right w:val="single" w:sz="4" w:space="0" w:color="auto"/>
            </w:tcBorders>
            <w:shd w:val="clear" w:color="auto" w:fill="auto"/>
            <w:hideMark/>
          </w:tcPr>
          <w:p w14:paraId="784AA37B"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CSI-RS based L1-RSRP measurement for group-based beam reporting test case</w:t>
            </w:r>
          </w:p>
        </w:tc>
        <w:tc>
          <w:tcPr>
            <w:tcW w:w="3402" w:type="dxa"/>
            <w:tcBorders>
              <w:top w:val="single" w:sz="4" w:space="0" w:color="auto"/>
              <w:left w:val="nil"/>
              <w:bottom w:val="single" w:sz="4" w:space="0" w:color="auto"/>
              <w:right w:val="single" w:sz="4" w:space="0" w:color="auto"/>
            </w:tcBorders>
            <w:shd w:val="clear" w:color="auto" w:fill="auto"/>
            <w:noWrap/>
            <w:hideMark/>
          </w:tcPr>
          <w:p w14:paraId="76E525A5"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2E673108" w14:textId="77777777" w:rsidTr="000223C3">
        <w:trPr>
          <w:trHeight w:val="379"/>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6FD39"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R5-251752</w:t>
            </w:r>
          </w:p>
        </w:tc>
        <w:tc>
          <w:tcPr>
            <w:tcW w:w="4772" w:type="dxa"/>
            <w:tcBorders>
              <w:top w:val="single" w:sz="4" w:space="0" w:color="auto"/>
              <w:left w:val="nil"/>
              <w:bottom w:val="single" w:sz="4" w:space="0" w:color="auto"/>
              <w:right w:val="single" w:sz="4" w:space="0" w:color="auto"/>
            </w:tcBorders>
            <w:shd w:val="clear" w:color="auto" w:fill="auto"/>
            <w:hideMark/>
          </w:tcPr>
          <w:p w14:paraId="36AFE398"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NR SA FR2 DCI based active TCI state switch with m-DCI test case</w:t>
            </w:r>
          </w:p>
        </w:tc>
        <w:tc>
          <w:tcPr>
            <w:tcW w:w="3402" w:type="dxa"/>
            <w:tcBorders>
              <w:top w:val="single" w:sz="4" w:space="0" w:color="auto"/>
              <w:left w:val="nil"/>
              <w:bottom w:val="single" w:sz="4" w:space="0" w:color="auto"/>
              <w:right w:val="single" w:sz="4" w:space="0" w:color="auto"/>
            </w:tcBorders>
            <w:shd w:val="clear" w:color="auto" w:fill="auto"/>
            <w:noWrap/>
            <w:hideMark/>
          </w:tcPr>
          <w:p w14:paraId="0955749C"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4D6C6E11" w14:textId="77777777" w:rsidTr="000223C3">
        <w:trPr>
          <w:trHeight w:val="413"/>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D0C7C3"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R5-251598</w:t>
            </w:r>
          </w:p>
        </w:tc>
        <w:tc>
          <w:tcPr>
            <w:tcW w:w="4772" w:type="dxa"/>
            <w:tcBorders>
              <w:top w:val="single" w:sz="4" w:space="0" w:color="auto"/>
              <w:left w:val="nil"/>
              <w:bottom w:val="single" w:sz="4" w:space="0" w:color="auto"/>
              <w:right w:val="single" w:sz="4" w:space="0" w:color="auto"/>
            </w:tcBorders>
            <w:shd w:val="clear" w:color="auto" w:fill="auto"/>
            <w:hideMark/>
          </w:tcPr>
          <w:p w14:paraId="380F4115"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NR SA FR2 single DCI based active TCI state switch test case</w:t>
            </w:r>
          </w:p>
        </w:tc>
        <w:tc>
          <w:tcPr>
            <w:tcW w:w="3402" w:type="dxa"/>
            <w:tcBorders>
              <w:top w:val="single" w:sz="4" w:space="0" w:color="auto"/>
              <w:left w:val="nil"/>
              <w:bottom w:val="single" w:sz="4" w:space="0" w:color="auto"/>
              <w:right w:val="single" w:sz="4" w:space="0" w:color="auto"/>
            </w:tcBorders>
            <w:shd w:val="clear" w:color="auto" w:fill="auto"/>
            <w:noWrap/>
            <w:hideMark/>
          </w:tcPr>
          <w:p w14:paraId="4911DD8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5970E2B7" w14:textId="77777777" w:rsidTr="000223C3">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C75CD7"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hyperlink r:id="rId16" w:history="1">
              <w:r w:rsidRPr="000223C3">
                <w:rPr>
                  <w:rFonts w:ascii="Arial" w:hAnsi="Arial" w:cs="Arial"/>
                  <w:color w:val="008080"/>
                  <w:sz w:val="16"/>
                  <w:szCs w:val="16"/>
                  <w:lang w:val="en-US"/>
                </w:rPr>
                <w:t>R5-250496</w:t>
              </w:r>
            </w:hyperlink>
          </w:p>
        </w:tc>
        <w:tc>
          <w:tcPr>
            <w:tcW w:w="4772" w:type="dxa"/>
            <w:tcBorders>
              <w:top w:val="single" w:sz="4" w:space="0" w:color="auto"/>
              <w:left w:val="nil"/>
              <w:bottom w:val="single" w:sz="4" w:space="0" w:color="auto"/>
              <w:right w:val="single" w:sz="4" w:space="0" w:color="auto"/>
            </w:tcBorders>
            <w:shd w:val="clear" w:color="auto" w:fill="auto"/>
            <w:hideMark/>
          </w:tcPr>
          <w:p w14:paraId="444D4CD0"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multiple AoA test setups for multiRx test cases</w:t>
            </w:r>
          </w:p>
        </w:tc>
        <w:tc>
          <w:tcPr>
            <w:tcW w:w="3402" w:type="dxa"/>
            <w:tcBorders>
              <w:top w:val="single" w:sz="4" w:space="0" w:color="auto"/>
              <w:left w:val="nil"/>
              <w:bottom w:val="single" w:sz="4" w:space="0" w:color="auto"/>
              <w:right w:val="single" w:sz="4" w:space="0" w:color="auto"/>
            </w:tcBorders>
            <w:shd w:val="clear" w:color="auto" w:fill="auto"/>
            <w:noWrap/>
            <w:hideMark/>
          </w:tcPr>
          <w:p w14:paraId="1E5C63E4"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51315D00" w14:textId="77777777" w:rsidTr="000223C3">
        <w:trPr>
          <w:trHeight w:val="296"/>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B66BDB"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R5-251599</w:t>
            </w:r>
          </w:p>
        </w:tc>
        <w:tc>
          <w:tcPr>
            <w:tcW w:w="4772" w:type="dxa"/>
            <w:tcBorders>
              <w:top w:val="single" w:sz="4" w:space="0" w:color="auto"/>
              <w:left w:val="nil"/>
              <w:bottom w:val="single" w:sz="4" w:space="0" w:color="auto"/>
              <w:right w:val="single" w:sz="4" w:space="0" w:color="auto"/>
            </w:tcBorders>
            <w:shd w:val="clear" w:color="auto" w:fill="auto"/>
            <w:hideMark/>
          </w:tcPr>
          <w:p w14:paraId="01AC6A6C"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FR2 multi-Rx RLM test case 5.5.1.11</w:t>
            </w:r>
          </w:p>
        </w:tc>
        <w:tc>
          <w:tcPr>
            <w:tcW w:w="3402" w:type="dxa"/>
            <w:tcBorders>
              <w:top w:val="single" w:sz="4" w:space="0" w:color="auto"/>
              <w:left w:val="nil"/>
              <w:bottom w:val="single" w:sz="4" w:space="0" w:color="auto"/>
              <w:right w:val="single" w:sz="4" w:space="0" w:color="auto"/>
            </w:tcBorders>
            <w:shd w:val="clear" w:color="auto" w:fill="auto"/>
            <w:noWrap/>
            <w:hideMark/>
          </w:tcPr>
          <w:p w14:paraId="43814498"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Germany</w:t>
            </w:r>
          </w:p>
        </w:tc>
      </w:tr>
      <w:tr w:rsidR="000223C3" w:rsidRPr="000223C3" w14:paraId="04187275" w14:textId="77777777" w:rsidTr="000223C3">
        <w:trPr>
          <w:trHeight w:val="271"/>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C9A469"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R5-251600</w:t>
            </w:r>
          </w:p>
        </w:tc>
        <w:tc>
          <w:tcPr>
            <w:tcW w:w="4772" w:type="dxa"/>
            <w:tcBorders>
              <w:top w:val="single" w:sz="4" w:space="0" w:color="auto"/>
              <w:left w:val="nil"/>
              <w:bottom w:val="single" w:sz="4" w:space="0" w:color="auto"/>
              <w:right w:val="single" w:sz="4" w:space="0" w:color="auto"/>
            </w:tcBorders>
            <w:shd w:val="clear" w:color="auto" w:fill="auto"/>
            <w:hideMark/>
          </w:tcPr>
          <w:p w14:paraId="238DD27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FR2 multi-Rx RLM test case 7.5.1.10</w:t>
            </w:r>
          </w:p>
        </w:tc>
        <w:tc>
          <w:tcPr>
            <w:tcW w:w="3402" w:type="dxa"/>
            <w:tcBorders>
              <w:top w:val="single" w:sz="4" w:space="0" w:color="auto"/>
              <w:left w:val="nil"/>
              <w:bottom w:val="single" w:sz="4" w:space="0" w:color="auto"/>
              <w:right w:val="single" w:sz="4" w:space="0" w:color="auto"/>
            </w:tcBorders>
            <w:shd w:val="clear" w:color="auto" w:fill="auto"/>
            <w:noWrap/>
            <w:hideMark/>
          </w:tcPr>
          <w:p w14:paraId="668B2BB3"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Germany</w:t>
            </w:r>
          </w:p>
        </w:tc>
      </w:tr>
      <w:tr w:rsidR="000223C3" w:rsidRPr="000223C3" w14:paraId="627F37A6"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EBB2B8"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R5-251519</w:t>
            </w:r>
          </w:p>
        </w:tc>
        <w:tc>
          <w:tcPr>
            <w:tcW w:w="4772" w:type="dxa"/>
            <w:tcBorders>
              <w:top w:val="single" w:sz="4" w:space="0" w:color="auto"/>
              <w:left w:val="nil"/>
              <w:bottom w:val="single" w:sz="4" w:space="0" w:color="auto"/>
              <w:right w:val="single" w:sz="4" w:space="0" w:color="auto"/>
            </w:tcBorders>
            <w:shd w:val="clear" w:color="auto" w:fill="auto"/>
            <w:hideMark/>
          </w:tcPr>
          <w:p w14:paraId="786B7F5C"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TP Analysis for 2AoA spherical coverage test</w:t>
            </w:r>
          </w:p>
        </w:tc>
        <w:tc>
          <w:tcPr>
            <w:tcW w:w="3402" w:type="dxa"/>
            <w:tcBorders>
              <w:top w:val="single" w:sz="4" w:space="0" w:color="auto"/>
              <w:left w:val="nil"/>
              <w:bottom w:val="single" w:sz="4" w:space="0" w:color="auto"/>
              <w:right w:val="single" w:sz="4" w:space="0" w:color="auto"/>
            </w:tcBorders>
            <w:shd w:val="clear" w:color="auto" w:fill="auto"/>
            <w:noWrap/>
            <w:hideMark/>
          </w:tcPr>
          <w:p w14:paraId="4CFEB554"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Apple Trading</w:t>
            </w:r>
          </w:p>
        </w:tc>
      </w:tr>
    </w:tbl>
    <w:p w14:paraId="3E6067E7" w14:textId="77777777" w:rsidR="009C6D49" w:rsidRDefault="009C6D49" w:rsidP="004F218A">
      <w:pPr>
        <w:tabs>
          <w:tab w:val="left" w:pos="567"/>
        </w:tabs>
        <w:overflowPunct/>
        <w:autoSpaceDE/>
        <w:autoSpaceDN/>
        <w:snapToGrid w:val="0"/>
        <w:spacing w:after="0"/>
        <w:textAlignment w:val="auto"/>
        <w:rPr>
          <w:rFonts w:ascii="Arial" w:hAnsi="Arial" w:cs="Arial"/>
          <w:bC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lastRenderedPageBreak/>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7"/>
      <w:headerReference w:type="default" r:id="rId18"/>
      <w:footerReference w:type="even" r:id="rId19"/>
      <w:footerReference w:type="default" r:id="rId20"/>
      <w:headerReference w:type="first" r:id="rId21"/>
      <w:footerReference w:type="first" r:id="rId2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35A69" w14:textId="77777777" w:rsidR="00F421FC" w:rsidRDefault="00F421FC">
      <w:r>
        <w:separator/>
      </w:r>
    </w:p>
  </w:endnote>
  <w:endnote w:type="continuationSeparator" w:id="0">
    <w:p w14:paraId="74B6E2BF" w14:textId="77777777" w:rsidR="00F421FC" w:rsidRDefault="00F421FC">
      <w:r>
        <w:continuationSeparator/>
      </w:r>
    </w:p>
  </w:endnote>
  <w:endnote w:type="continuationNotice" w:id="1">
    <w:p w14:paraId="6B67DD88" w14:textId="77777777" w:rsidR="00F421FC" w:rsidRDefault="00F421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FA312" w14:textId="77777777" w:rsidR="00F421FC" w:rsidRDefault="00F421FC">
      <w:r>
        <w:separator/>
      </w:r>
    </w:p>
  </w:footnote>
  <w:footnote w:type="continuationSeparator" w:id="0">
    <w:p w14:paraId="239E4BD5" w14:textId="77777777" w:rsidR="00F421FC" w:rsidRDefault="00F421FC">
      <w:r>
        <w:continuationSeparator/>
      </w:r>
    </w:p>
  </w:footnote>
  <w:footnote w:type="continuationNotice" w:id="1">
    <w:p w14:paraId="68E58E06" w14:textId="77777777" w:rsidR="00F421FC" w:rsidRDefault="00F421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23C3"/>
    <w:rsid w:val="000276C5"/>
    <w:rsid w:val="000277DD"/>
    <w:rsid w:val="00030857"/>
    <w:rsid w:val="0004456C"/>
    <w:rsid w:val="0005259B"/>
    <w:rsid w:val="00053BE9"/>
    <w:rsid w:val="00053FEE"/>
    <w:rsid w:val="00054F22"/>
    <w:rsid w:val="00060AE4"/>
    <w:rsid w:val="00061A15"/>
    <w:rsid w:val="00066EA7"/>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3497"/>
    <w:rsid w:val="00107278"/>
    <w:rsid w:val="00116F4B"/>
    <w:rsid w:val="001229F4"/>
    <w:rsid w:val="00137471"/>
    <w:rsid w:val="00150FD3"/>
    <w:rsid w:val="00154918"/>
    <w:rsid w:val="00162A7C"/>
    <w:rsid w:val="00164766"/>
    <w:rsid w:val="00184428"/>
    <w:rsid w:val="0019120A"/>
    <w:rsid w:val="00193753"/>
    <w:rsid w:val="001A248F"/>
    <w:rsid w:val="001A3B5F"/>
    <w:rsid w:val="001A659D"/>
    <w:rsid w:val="001B51AB"/>
    <w:rsid w:val="001B5CA8"/>
    <w:rsid w:val="001C4490"/>
    <w:rsid w:val="001D120D"/>
    <w:rsid w:val="001D2C1A"/>
    <w:rsid w:val="001D363C"/>
    <w:rsid w:val="001D3BA2"/>
    <w:rsid w:val="001D44B7"/>
    <w:rsid w:val="001D4880"/>
    <w:rsid w:val="001E0075"/>
    <w:rsid w:val="001E14AF"/>
    <w:rsid w:val="001E4FF5"/>
    <w:rsid w:val="001F1B1F"/>
    <w:rsid w:val="001F2A20"/>
    <w:rsid w:val="001F486F"/>
    <w:rsid w:val="00207DC4"/>
    <w:rsid w:val="00211FD3"/>
    <w:rsid w:val="0022485E"/>
    <w:rsid w:val="00233B42"/>
    <w:rsid w:val="00243A99"/>
    <w:rsid w:val="00264873"/>
    <w:rsid w:val="00273254"/>
    <w:rsid w:val="00294F6E"/>
    <w:rsid w:val="0029567C"/>
    <w:rsid w:val="002C0B82"/>
    <w:rsid w:val="002C117D"/>
    <w:rsid w:val="002D5FB2"/>
    <w:rsid w:val="002E0857"/>
    <w:rsid w:val="002E222E"/>
    <w:rsid w:val="00301B7A"/>
    <w:rsid w:val="00306816"/>
    <w:rsid w:val="00306D59"/>
    <w:rsid w:val="0032388B"/>
    <w:rsid w:val="0032503A"/>
    <w:rsid w:val="00325EE1"/>
    <w:rsid w:val="003357C0"/>
    <w:rsid w:val="00344D60"/>
    <w:rsid w:val="00346477"/>
    <w:rsid w:val="003470B8"/>
    <w:rsid w:val="00347CB0"/>
    <w:rsid w:val="00355205"/>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36A17"/>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334E"/>
    <w:rsid w:val="00505387"/>
    <w:rsid w:val="00506DEB"/>
    <w:rsid w:val="005111D3"/>
    <w:rsid w:val="00512DF7"/>
    <w:rsid w:val="005141E7"/>
    <w:rsid w:val="00517E63"/>
    <w:rsid w:val="00526B0D"/>
    <w:rsid w:val="00544242"/>
    <w:rsid w:val="005516FA"/>
    <w:rsid w:val="005527B7"/>
    <w:rsid w:val="0055346F"/>
    <w:rsid w:val="005579FF"/>
    <w:rsid w:val="00576E6B"/>
    <w:rsid w:val="005776DD"/>
    <w:rsid w:val="00582117"/>
    <w:rsid w:val="0058478F"/>
    <w:rsid w:val="005865C1"/>
    <w:rsid w:val="005877EB"/>
    <w:rsid w:val="005911C8"/>
    <w:rsid w:val="00593315"/>
    <w:rsid w:val="005A12BE"/>
    <w:rsid w:val="005A170D"/>
    <w:rsid w:val="005A174B"/>
    <w:rsid w:val="005A5FFD"/>
    <w:rsid w:val="005A6C96"/>
    <w:rsid w:val="005C4BE4"/>
    <w:rsid w:val="005D0418"/>
    <w:rsid w:val="005D602F"/>
    <w:rsid w:val="005E1D58"/>
    <w:rsid w:val="005E37F6"/>
    <w:rsid w:val="005F30BA"/>
    <w:rsid w:val="006039F8"/>
    <w:rsid w:val="00610E37"/>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9D7"/>
    <w:rsid w:val="00752BDE"/>
    <w:rsid w:val="0076542F"/>
    <w:rsid w:val="00766CFB"/>
    <w:rsid w:val="00780D36"/>
    <w:rsid w:val="007816FF"/>
    <w:rsid w:val="00783B44"/>
    <w:rsid w:val="00785028"/>
    <w:rsid w:val="007A3A5A"/>
    <w:rsid w:val="007A4370"/>
    <w:rsid w:val="007B2837"/>
    <w:rsid w:val="007E1D15"/>
    <w:rsid w:val="007E1DEA"/>
    <w:rsid w:val="007E2202"/>
    <w:rsid w:val="007E260C"/>
    <w:rsid w:val="007F30BC"/>
    <w:rsid w:val="007F3420"/>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B4E21"/>
    <w:rsid w:val="008C1698"/>
    <w:rsid w:val="008C1A3D"/>
    <w:rsid w:val="008D01C3"/>
    <w:rsid w:val="008D1E13"/>
    <w:rsid w:val="008D6549"/>
    <w:rsid w:val="008D70D2"/>
    <w:rsid w:val="008E00D0"/>
    <w:rsid w:val="008E52C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10EE"/>
    <w:rsid w:val="009C3B71"/>
    <w:rsid w:val="009C6592"/>
    <w:rsid w:val="009C6D49"/>
    <w:rsid w:val="009D3764"/>
    <w:rsid w:val="009E209B"/>
    <w:rsid w:val="009E4BFB"/>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55A6"/>
    <w:rsid w:val="00A86AB5"/>
    <w:rsid w:val="00A92691"/>
    <w:rsid w:val="00A94410"/>
    <w:rsid w:val="00A97226"/>
    <w:rsid w:val="00AA0E64"/>
    <w:rsid w:val="00AA142F"/>
    <w:rsid w:val="00AA1B81"/>
    <w:rsid w:val="00AA3162"/>
    <w:rsid w:val="00AA53DB"/>
    <w:rsid w:val="00AB239A"/>
    <w:rsid w:val="00AB6CA5"/>
    <w:rsid w:val="00AC39FB"/>
    <w:rsid w:val="00AD200C"/>
    <w:rsid w:val="00AD53C7"/>
    <w:rsid w:val="00AD7ADC"/>
    <w:rsid w:val="00AE037A"/>
    <w:rsid w:val="00AE08EB"/>
    <w:rsid w:val="00AE7687"/>
    <w:rsid w:val="00B00BBE"/>
    <w:rsid w:val="00B04000"/>
    <w:rsid w:val="00B10710"/>
    <w:rsid w:val="00B1145E"/>
    <w:rsid w:val="00B11910"/>
    <w:rsid w:val="00B176A4"/>
    <w:rsid w:val="00B17C98"/>
    <w:rsid w:val="00B208FA"/>
    <w:rsid w:val="00B25C12"/>
    <w:rsid w:val="00B2766F"/>
    <w:rsid w:val="00B3090D"/>
    <w:rsid w:val="00B31ABC"/>
    <w:rsid w:val="00B445ED"/>
    <w:rsid w:val="00B556D4"/>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5520"/>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5E71"/>
    <w:rsid w:val="00CF7FAC"/>
    <w:rsid w:val="00D04B59"/>
    <w:rsid w:val="00D160C1"/>
    <w:rsid w:val="00D17794"/>
    <w:rsid w:val="00D220B7"/>
    <w:rsid w:val="00D22398"/>
    <w:rsid w:val="00D265CC"/>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6AF7"/>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C505A"/>
    <w:rsid w:val="00EC5571"/>
    <w:rsid w:val="00ED0E8F"/>
    <w:rsid w:val="00EE1504"/>
    <w:rsid w:val="00EE191C"/>
    <w:rsid w:val="00EE21F2"/>
    <w:rsid w:val="00EE276C"/>
    <w:rsid w:val="00EE3B5B"/>
    <w:rsid w:val="00EE4471"/>
    <w:rsid w:val="00EE4CC9"/>
    <w:rsid w:val="00EF0870"/>
    <w:rsid w:val="00EF4800"/>
    <w:rsid w:val="00EF674A"/>
    <w:rsid w:val="00F00A3D"/>
    <w:rsid w:val="00F17CA4"/>
    <w:rsid w:val="00F24CD0"/>
    <w:rsid w:val="00F24DDD"/>
    <w:rsid w:val="00F256AA"/>
    <w:rsid w:val="00F2770B"/>
    <w:rsid w:val="00F421FC"/>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691"/>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A926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A9269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9269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92691"/>
    <w:pPr>
      <w:ind w:left="1418" w:hanging="1418"/>
      <w:outlineLvl w:val="3"/>
    </w:pPr>
    <w:rPr>
      <w:sz w:val="24"/>
    </w:rPr>
  </w:style>
  <w:style w:type="paragraph" w:styleId="Heading5">
    <w:name w:val="heading 5"/>
    <w:aliases w:val="H5"/>
    <w:basedOn w:val="Heading4"/>
    <w:next w:val="Normal"/>
    <w:qFormat/>
    <w:rsid w:val="00A92691"/>
    <w:pPr>
      <w:ind w:left="1701" w:hanging="1701"/>
      <w:outlineLvl w:val="4"/>
    </w:pPr>
    <w:rPr>
      <w:sz w:val="22"/>
    </w:rPr>
  </w:style>
  <w:style w:type="paragraph" w:styleId="Heading6">
    <w:name w:val="heading 6"/>
    <w:basedOn w:val="H6"/>
    <w:next w:val="Normal"/>
    <w:link w:val="Heading6Char"/>
    <w:qFormat/>
    <w:rsid w:val="00A92691"/>
    <w:pPr>
      <w:outlineLvl w:val="5"/>
    </w:pPr>
  </w:style>
  <w:style w:type="paragraph" w:styleId="Heading7">
    <w:name w:val="heading 7"/>
    <w:basedOn w:val="H6"/>
    <w:next w:val="Normal"/>
    <w:link w:val="Heading7Char"/>
    <w:qFormat/>
    <w:rsid w:val="00A92691"/>
    <w:pPr>
      <w:outlineLvl w:val="6"/>
    </w:pPr>
  </w:style>
  <w:style w:type="paragraph" w:styleId="Heading8">
    <w:name w:val="heading 8"/>
    <w:aliases w:val="Table Heading"/>
    <w:basedOn w:val="Heading1"/>
    <w:next w:val="Normal"/>
    <w:qFormat/>
    <w:rsid w:val="00A92691"/>
    <w:pPr>
      <w:ind w:left="0" w:firstLine="0"/>
      <w:outlineLvl w:val="7"/>
    </w:pPr>
  </w:style>
  <w:style w:type="paragraph" w:styleId="Heading9">
    <w:name w:val="heading 9"/>
    <w:aliases w:val="Figure Heading,FH"/>
    <w:basedOn w:val="Heading8"/>
    <w:next w:val="Normal"/>
    <w:qFormat/>
    <w:rsid w:val="00A92691"/>
    <w:pPr>
      <w:outlineLvl w:val="8"/>
    </w:pPr>
  </w:style>
  <w:style w:type="character" w:default="1" w:styleId="DefaultParagraphFont">
    <w:name w:val="Default Paragraph Font"/>
    <w:semiHidden/>
    <w:rsid w:val="00A926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2691"/>
  </w:style>
  <w:style w:type="paragraph" w:customStyle="1" w:styleId="FP">
    <w:name w:val="FP"/>
    <w:basedOn w:val="Normal"/>
    <w:rsid w:val="00A9269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92691"/>
    <w:pPr>
      <w:spacing w:before="180"/>
      <w:ind w:left="2693" w:hanging="2693"/>
    </w:pPr>
    <w:rPr>
      <w:b/>
    </w:rPr>
  </w:style>
  <w:style w:type="paragraph" w:styleId="TOC1">
    <w:name w:val="toc 1"/>
    <w:semiHidden/>
    <w:rsid w:val="00A926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9269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92691"/>
    <w:pPr>
      <w:ind w:left="1701" w:hanging="1701"/>
    </w:pPr>
  </w:style>
  <w:style w:type="paragraph" w:styleId="TOC4">
    <w:name w:val="toc 4"/>
    <w:basedOn w:val="TOC3"/>
    <w:rsid w:val="00A92691"/>
    <w:pPr>
      <w:ind w:left="1418" w:hanging="1418"/>
    </w:pPr>
  </w:style>
  <w:style w:type="paragraph" w:styleId="TOC3">
    <w:name w:val="toc 3"/>
    <w:basedOn w:val="TOC2"/>
    <w:rsid w:val="00A92691"/>
    <w:pPr>
      <w:ind w:left="1134" w:hanging="1134"/>
    </w:pPr>
  </w:style>
  <w:style w:type="paragraph" w:styleId="TOC2">
    <w:name w:val="toc 2"/>
    <w:basedOn w:val="TOC1"/>
    <w:rsid w:val="00A92691"/>
    <w:pPr>
      <w:keepNext w:val="0"/>
      <w:spacing w:before="0"/>
      <w:ind w:left="851" w:hanging="851"/>
    </w:pPr>
    <w:rPr>
      <w:sz w:val="20"/>
    </w:rPr>
  </w:style>
  <w:style w:type="paragraph" w:styleId="Index2">
    <w:name w:val="index 2"/>
    <w:basedOn w:val="Index1"/>
    <w:rsid w:val="00A92691"/>
    <w:pPr>
      <w:ind w:left="284"/>
    </w:pPr>
  </w:style>
  <w:style w:type="paragraph" w:styleId="Index1">
    <w:name w:val="index 1"/>
    <w:basedOn w:val="Normal"/>
    <w:rsid w:val="00A92691"/>
    <w:pPr>
      <w:keepLines/>
      <w:spacing w:after="0"/>
    </w:pPr>
  </w:style>
  <w:style w:type="paragraph" w:customStyle="1" w:styleId="ZH">
    <w:name w:val="ZH"/>
    <w:rsid w:val="00A926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A92691"/>
    <w:pPr>
      <w:outlineLvl w:val="9"/>
    </w:pPr>
  </w:style>
  <w:style w:type="paragraph" w:styleId="ListNumber2">
    <w:name w:val="List Number 2"/>
    <w:basedOn w:val="ListNumber"/>
    <w:rsid w:val="00A9269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92691"/>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A9269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92691"/>
    <w:pPr>
      <w:keepLines/>
      <w:spacing w:after="0"/>
      <w:ind w:left="454" w:hanging="454"/>
    </w:pPr>
    <w:rPr>
      <w:sz w:val="16"/>
    </w:rPr>
  </w:style>
  <w:style w:type="paragraph" w:customStyle="1" w:styleId="TAH">
    <w:name w:val="TAH"/>
    <w:basedOn w:val="TAC"/>
    <w:link w:val="TAHCar"/>
    <w:rsid w:val="00A92691"/>
    <w:rPr>
      <w:b/>
    </w:rPr>
  </w:style>
  <w:style w:type="paragraph" w:customStyle="1" w:styleId="TAC">
    <w:name w:val="TAC"/>
    <w:basedOn w:val="TAL"/>
    <w:link w:val="TACChar"/>
    <w:rsid w:val="00A92691"/>
    <w:pPr>
      <w:jc w:val="center"/>
    </w:pPr>
  </w:style>
  <w:style w:type="paragraph" w:customStyle="1" w:styleId="TF">
    <w:name w:val="TF"/>
    <w:basedOn w:val="TH"/>
    <w:rsid w:val="00A92691"/>
    <w:pPr>
      <w:keepNext w:val="0"/>
      <w:spacing w:before="0" w:after="240"/>
    </w:pPr>
  </w:style>
  <w:style w:type="paragraph" w:customStyle="1" w:styleId="NO">
    <w:name w:val="NO"/>
    <w:basedOn w:val="Normal"/>
    <w:rsid w:val="00A92691"/>
    <w:pPr>
      <w:keepLines/>
      <w:ind w:left="1135" w:hanging="851"/>
    </w:pPr>
  </w:style>
  <w:style w:type="paragraph" w:styleId="TOC9">
    <w:name w:val="toc 9"/>
    <w:basedOn w:val="TOC8"/>
    <w:rsid w:val="00A92691"/>
    <w:pPr>
      <w:ind w:left="1418" w:hanging="1418"/>
    </w:pPr>
  </w:style>
  <w:style w:type="paragraph" w:customStyle="1" w:styleId="EX">
    <w:name w:val="EX"/>
    <w:basedOn w:val="Normal"/>
    <w:rsid w:val="00A92691"/>
    <w:pPr>
      <w:keepLines/>
      <w:ind w:left="1702" w:hanging="1418"/>
    </w:pPr>
  </w:style>
  <w:style w:type="paragraph" w:customStyle="1" w:styleId="LD">
    <w:name w:val="LD"/>
    <w:rsid w:val="00A926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92691"/>
    <w:pPr>
      <w:spacing w:after="0"/>
    </w:pPr>
  </w:style>
  <w:style w:type="paragraph" w:customStyle="1" w:styleId="EW">
    <w:name w:val="EW"/>
    <w:basedOn w:val="EX"/>
    <w:rsid w:val="00A92691"/>
    <w:pPr>
      <w:spacing w:after="0"/>
    </w:pPr>
  </w:style>
  <w:style w:type="paragraph" w:styleId="TOC6">
    <w:name w:val="toc 6"/>
    <w:basedOn w:val="TOC5"/>
    <w:next w:val="Normal"/>
    <w:rsid w:val="00A92691"/>
    <w:pPr>
      <w:ind w:left="1985" w:hanging="1985"/>
    </w:pPr>
  </w:style>
  <w:style w:type="paragraph" w:styleId="TOC7">
    <w:name w:val="toc 7"/>
    <w:basedOn w:val="TOC6"/>
    <w:next w:val="Normal"/>
    <w:rsid w:val="00A92691"/>
    <w:pPr>
      <w:ind w:left="2268" w:hanging="2268"/>
    </w:pPr>
  </w:style>
  <w:style w:type="paragraph" w:styleId="ListBullet2">
    <w:name w:val="List Bullet 2"/>
    <w:aliases w:val="lb2"/>
    <w:basedOn w:val="ListBullet"/>
    <w:rsid w:val="00A92691"/>
    <w:pPr>
      <w:ind w:left="851"/>
    </w:pPr>
  </w:style>
  <w:style w:type="paragraph" w:styleId="ListBullet3">
    <w:name w:val="List Bullet 3"/>
    <w:basedOn w:val="ListBullet2"/>
    <w:rsid w:val="00A92691"/>
    <w:pPr>
      <w:ind w:left="1135"/>
    </w:pPr>
  </w:style>
  <w:style w:type="paragraph" w:styleId="ListNumber">
    <w:name w:val="List Number"/>
    <w:basedOn w:val="List"/>
    <w:rsid w:val="00A92691"/>
  </w:style>
  <w:style w:type="paragraph" w:customStyle="1" w:styleId="EQ">
    <w:name w:val="EQ"/>
    <w:basedOn w:val="Normal"/>
    <w:next w:val="Normal"/>
    <w:rsid w:val="00A92691"/>
    <w:pPr>
      <w:keepLines/>
      <w:tabs>
        <w:tab w:val="center" w:pos="4536"/>
        <w:tab w:val="right" w:pos="9072"/>
      </w:tabs>
    </w:pPr>
    <w:rPr>
      <w:noProof/>
    </w:rPr>
  </w:style>
  <w:style w:type="paragraph" w:customStyle="1" w:styleId="TH">
    <w:name w:val="TH"/>
    <w:basedOn w:val="Normal"/>
    <w:link w:val="THChar"/>
    <w:rsid w:val="00A92691"/>
    <w:pPr>
      <w:keepNext/>
      <w:keepLines/>
      <w:spacing w:before="60"/>
      <w:jc w:val="center"/>
    </w:pPr>
    <w:rPr>
      <w:rFonts w:ascii="Arial" w:hAnsi="Arial"/>
      <w:b/>
    </w:rPr>
  </w:style>
  <w:style w:type="paragraph" w:customStyle="1" w:styleId="NF">
    <w:name w:val="NF"/>
    <w:basedOn w:val="NO"/>
    <w:rsid w:val="00A92691"/>
    <w:pPr>
      <w:keepNext/>
      <w:spacing w:after="0"/>
    </w:pPr>
    <w:rPr>
      <w:rFonts w:ascii="Arial" w:hAnsi="Arial"/>
      <w:sz w:val="18"/>
    </w:rPr>
  </w:style>
  <w:style w:type="paragraph" w:customStyle="1" w:styleId="PL">
    <w:name w:val="PL"/>
    <w:rsid w:val="00A926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92691"/>
    <w:pPr>
      <w:jc w:val="right"/>
    </w:pPr>
  </w:style>
  <w:style w:type="paragraph" w:customStyle="1" w:styleId="H6">
    <w:name w:val="H6"/>
    <w:basedOn w:val="Heading5"/>
    <w:next w:val="Normal"/>
    <w:rsid w:val="00A92691"/>
    <w:pPr>
      <w:ind w:left="1985" w:hanging="1985"/>
      <w:outlineLvl w:val="9"/>
    </w:pPr>
    <w:rPr>
      <w:sz w:val="20"/>
    </w:rPr>
  </w:style>
  <w:style w:type="paragraph" w:customStyle="1" w:styleId="TAN">
    <w:name w:val="TAN"/>
    <w:basedOn w:val="TAL"/>
    <w:link w:val="TANChar"/>
    <w:rsid w:val="00A92691"/>
    <w:pPr>
      <w:ind w:left="851" w:hanging="851"/>
    </w:pPr>
  </w:style>
  <w:style w:type="paragraph" w:customStyle="1" w:styleId="TAL">
    <w:name w:val="TAL"/>
    <w:basedOn w:val="Normal"/>
    <w:link w:val="TALCar"/>
    <w:rsid w:val="00A92691"/>
    <w:pPr>
      <w:keepNext/>
      <w:keepLines/>
      <w:spacing w:after="0"/>
    </w:pPr>
    <w:rPr>
      <w:rFonts w:ascii="Arial" w:hAnsi="Arial"/>
      <w:sz w:val="18"/>
    </w:rPr>
  </w:style>
  <w:style w:type="paragraph" w:customStyle="1" w:styleId="ZA">
    <w:name w:val="ZA"/>
    <w:rsid w:val="00A926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926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926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926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92691"/>
    <w:pPr>
      <w:framePr w:wrap="notBeside" w:y="16161"/>
    </w:pPr>
  </w:style>
  <w:style w:type="character" w:customStyle="1" w:styleId="ZGSM">
    <w:name w:val="ZGSM"/>
    <w:rsid w:val="00A92691"/>
  </w:style>
  <w:style w:type="paragraph" w:styleId="List2">
    <w:name w:val="List 2"/>
    <w:basedOn w:val="List"/>
    <w:rsid w:val="00A92691"/>
    <w:pPr>
      <w:ind w:left="851"/>
    </w:pPr>
  </w:style>
  <w:style w:type="paragraph" w:customStyle="1" w:styleId="ZG">
    <w:name w:val="ZG"/>
    <w:rsid w:val="00A926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A92691"/>
    <w:pPr>
      <w:ind w:left="1135"/>
    </w:pPr>
  </w:style>
  <w:style w:type="paragraph" w:styleId="List4">
    <w:name w:val="List 4"/>
    <w:basedOn w:val="List3"/>
    <w:rsid w:val="00A92691"/>
    <w:pPr>
      <w:ind w:left="1418"/>
    </w:pPr>
  </w:style>
  <w:style w:type="paragraph" w:styleId="List5">
    <w:name w:val="List 5"/>
    <w:basedOn w:val="List4"/>
    <w:rsid w:val="00A92691"/>
    <w:pPr>
      <w:ind w:left="1702"/>
    </w:pPr>
  </w:style>
  <w:style w:type="paragraph" w:customStyle="1" w:styleId="EditorsNote">
    <w:name w:val="Editor's Note"/>
    <w:basedOn w:val="NO"/>
    <w:rsid w:val="00A92691"/>
    <w:rPr>
      <w:color w:val="FF0000"/>
    </w:rPr>
  </w:style>
  <w:style w:type="paragraph" w:styleId="List">
    <w:name w:val="List"/>
    <w:basedOn w:val="Normal"/>
    <w:rsid w:val="00A92691"/>
    <w:pPr>
      <w:ind w:left="568" w:hanging="284"/>
    </w:pPr>
  </w:style>
  <w:style w:type="paragraph" w:styleId="ListBullet">
    <w:name w:val="List Bullet"/>
    <w:basedOn w:val="List"/>
    <w:rsid w:val="00A92691"/>
  </w:style>
  <w:style w:type="paragraph" w:styleId="ListBullet4">
    <w:name w:val="List Bullet 4"/>
    <w:basedOn w:val="ListBullet3"/>
    <w:rsid w:val="00A92691"/>
    <w:pPr>
      <w:ind w:left="1418"/>
    </w:pPr>
  </w:style>
  <w:style w:type="paragraph" w:styleId="ListBullet5">
    <w:name w:val="List Bullet 5"/>
    <w:basedOn w:val="ListBullet4"/>
    <w:rsid w:val="00A92691"/>
    <w:pPr>
      <w:ind w:left="1702"/>
    </w:pPr>
  </w:style>
  <w:style w:type="paragraph" w:customStyle="1" w:styleId="B1">
    <w:name w:val="B1"/>
    <w:basedOn w:val="List"/>
    <w:link w:val="B1Char1"/>
    <w:rsid w:val="00A92691"/>
  </w:style>
  <w:style w:type="paragraph" w:customStyle="1" w:styleId="B2">
    <w:name w:val="B2"/>
    <w:basedOn w:val="List2"/>
    <w:rsid w:val="00A92691"/>
  </w:style>
  <w:style w:type="paragraph" w:customStyle="1" w:styleId="B3">
    <w:name w:val="B3"/>
    <w:basedOn w:val="List3"/>
    <w:rsid w:val="00A92691"/>
  </w:style>
  <w:style w:type="paragraph" w:customStyle="1" w:styleId="B4">
    <w:name w:val="B4"/>
    <w:basedOn w:val="List4"/>
    <w:rsid w:val="00A92691"/>
  </w:style>
  <w:style w:type="paragraph" w:customStyle="1" w:styleId="B5">
    <w:name w:val="B5"/>
    <w:basedOn w:val="List5"/>
    <w:rsid w:val="00A92691"/>
  </w:style>
  <w:style w:type="paragraph" w:styleId="Footer">
    <w:name w:val="footer"/>
    <w:basedOn w:val="Header"/>
    <w:link w:val="FooterChar"/>
    <w:rsid w:val="00A92691"/>
    <w:pPr>
      <w:jc w:val="center"/>
    </w:pPr>
    <w:rPr>
      <w:i/>
    </w:rPr>
  </w:style>
  <w:style w:type="paragraph" w:customStyle="1" w:styleId="ZTD">
    <w:name w:val="ZTD"/>
    <w:basedOn w:val="ZB"/>
    <w:rsid w:val="00A9269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54492209">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196724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vijayb\OneDrive%20-%20Qualcomm\RAN5%20related\RAN5\Meeting\RAN5_106_Athens\meeting_handling\Tdoc\R5-250558.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file:///C:\Users\vijayb\OneDrive%20-%20Qualcomm\RAN5%20related\RAN5\Meeting\RAN5_105_Orlando\meeting_handling\Tdoc\R5-24715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Users\vijayb\OneDrive%20-%20Qualcomm\RAN5%20related\RAN5\Meeting\RAN5_106_Athens\meeting_handling\Tdoc\R5-250496.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ijayb\OneDrive%20-%20Qualcomm\RAN5%20related\RAN5\Meeting\RAN5_105_Orlando\meeting_handling\Tdoc\R5-247504.zip"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file:///C:\Users\vijayb\OneDrive%20-%20Qualcomm\RAN5%20related\RAN5\Meeting\RAN5_106_Athens\meeting_handling\Tdoc\R5-251216.zip" TargetMode="External"/><Relationship Id="rId23" Type="http://schemas.openxmlformats.org/officeDocument/2006/relationships/fontTable" Target="fontTable.xml"/><Relationship Id="rId10" Type="http://schemas.openxmlformats.org/officeDocument/2006/relationships/hyperlink" Target="file:///C:\Users\vijayb\OneDrive%20-%20Qualcomm\RAN5%20related\RAN5\Meeting\RAN5_105_Orlando\meeting_handling\Tdoc\R5-247503.zip"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vijayb\OneDrive%20-%20Qualcomm\RAN5%20related\RAN5\Meeting\RAN5_106_Athens\meeting_handling\Tdoc\R5-250557.zip"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347</TotalTime>
  <Pages>4</Pages>
  <Words>1017</Words>
  <Characters>5797</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123</cp:revision>
  <dcterms:created xsi:type="dcterms:W3CDTF">2020-08-28T00:28:00Z</dcterms:created>
  <dcterms:modified xsi:type="dcterms:W3CDTF">2025-03-03T20:38:00Z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